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B85659" w:rsidRPr="00D811A1" w:rsidTr="00812C0E">
        <w:tc>
          <w:tcPr>
            <w:tcW w:w="5635" w:type="dxa"/>
          </w:tcPr>
          <w:p w:rsidR="00B85659" w:rsidRPr="00DB7480" w:rsidRDefault="00B85659" w:rsidP="00812C0E">
            <w:pPr>
              <w:bidi/>
              <w:textAlignment w:val="top"/>
              <w:rPr>
                <w:rFonts w:ascii="Arial" w:eastAsia="Times New Roman" w:hAnsi="Arial" w:cs="Arial"/>
                <w:color w:val="888888"/>
                <w:sz w:val="20"/>
                <w:szCs w:val="20"/>
              </w:rPr>
            </w:pPr>
            <w:r w:rsidRPr="00DB7480">
              <w:rPr>
                <w:rFonts w:ascii="Arial" w:eastAsia="Times New Roman" w:hAnsi="Arial" w:cs="Arial" w:hint="cs"/>
                <w:color w:val="000000"/>
                <w:sz w:val="24"/>
                <w:szCs w:val="24"/>
                <w:rtl/>
              </w:rPr>
              <w:t>الهندسة المعمارية وإدارة التنقل</w:t>
            </w:r>
            <w:r>
              <w:rPr>
                <w:rFonts w:ascii="Arial" w:eastAsia="Times New Roman" w:hAnsi="Arial" w:cs="Arial" w:hint="cs"/>
                <w:color w:val="000000"/>
                <w:sz w:val="24"/>
                <w:szCs w:val="24"/>
                <w:rtl/>
              </w:rPr>
              <w:t>:</w:t>
            </w:r>
            <w:r w:rsidRPr="00DB7480">
              <w:rPr>
                <w:rFonts w:ascii="Arial" w:eastAsia="Times New Roman" w:hAnsi="Arial" w:cs="Arial" w:hint="cs"/>
                <w:color w:val="000000"/>
                <w:sz w:val="24"/>
                <w:szCs w:val="24"/>
                <w:rtl/>
              </w:rPr>
              <w:t xml:space="preserve"> عمودي إلى أفقي تسليم</w:t>
            </w:r>
          </w:p>
          <w:p w:rsidR="00B85659" w:rsidRPr="00DB7480" w:rsidRDefault="00B85659" w:rsidP="00812C0E">
            <w:pPr>
              <w:bidi/>
              <w:textAlignment w:val="top"/>
              <w:rPr>
                <w:rFonts w:ascii="Arial" w:eastAsia="Times New Roman" w:hAnsi="Arial" w:cs="Arial"/>
                <w:vanish/>
                <w:color w:val="1111CC"/>
                <w:sz w:val="20"/>
                <w:szCs w:val="20"/>
                <w:rtl/>
              </w:rPr>
            </w:pPr>
            <w:r w:rsidRPr="00DB7480">
              <w:rPr>
                <w:rFonts w:ascii="Arial" w:eastAsia="Times New Roman" w:hAnsi="Arial" w:cs="Arial"/>
                <w:vanish/>
                <w:color w:val="1111CC"/>
                <w:szCs w:val="20"/>
                <w:rtl/>
              </w:rPr>
              <w:t>قراءة صوتية للكلمات</w:t>
            </w:r>
          </w:p>
          <w:p w:rsidR="00B85659" w:rsidRPr="00DB7480" w:rsidRDefault="00B85659" w:rsidP="00812C0E">
            <w:pPr>
              <w:spacing w:line="360" w:lineRule="atLeast"/>
              <w:textAlignment w:val="top"/>
              <w:rPr>
                <w:rFonts w:ascii="Lucida Sans Unicode" w:eastAsia="Times New Roman" w:hAnsi="Lucida Sans Unicode" w:cs="Lucida Sans Unicode"/>
                <w:vanish/>
                <w:color w:val="777777"/>
                <w:sz w:val="20"/>
                <w:szCs w:val="20"/>
                <w:rtl/>
              </w:rPr>
            </w:pPr>
            <w:r w:rsidRPr="00DB7480">
              <w:rPr>
                <w:rFonts w:ascii="Lucida Sans Unicode" w:eastAsia="Times New Roman" w:hAnsi="Lucida Sans Unicode" w:cs="Lucida Sans Unicode"/>
                <w:vanish/>
                <w:color w:val="777777"/>
                <w:sz w:val="20"/>
                <w:szCs w:val="20"/>
              </w:rPr>
              <w:t> </w:t>
            </w:r>
          </w:p>
          <w:p w:rsidR="00B85659" w:rsidRPr="00DB7480" w:rsidRDefault="00B85659" w:rsidP="00812C0E">
            <w:pPr>
              <w:bidi/>
              <w:spacing w:after="150" w:line="240" w:lineRule="atLeast"/>
              <w:textAlignment w:val="top"/>
              <w:outlineLvl w:val="3"/>
              <w:rPr>
                <w:rFonts w:ascii="Arial" w:eastAsia="Times New Roman" w:hAnsi="Arial" w:cs="Arial"/>
                <w:vanish/>
                <w:color w:val="888888"/>
                <w:sz w:val="20"/>
                <w:szCs w:val="20"/>
              </w:rPr>
            </w:pPr>
            <w:r w:rsidRPr="00DB7480">
              <w:rPr>
                <w:rFonts w:ascii="Arial" w:eastAsia="Times New Roman" w:hAnsi="Arial" w:cs="Arial"/>
                <w:vanish/>
                <w:color w:val="888888"/>
                <w:sz w:val="20"/>
                <w:szCs w:val="20"/>
                <w:rtl/>
              </w:rPr>
              <w:t xml:space="preserve">القاموس - </w:t>
            </w:r>
            <w:hyperlink r:id="rId4" w:history="1">
              <w:r w:rsidRPr="00DB7480">
                <w:rPr>
                  <w:rFonts w:ascii="Arial" w:eastAsia="Times New Roman" w:hAnsi="Arial" w:cs="Arial"/>
                  <w:vanish/>
                  <w:color w:val="4272DB"/>
                  <w:sz w:val="20"/>
                  <w:szCs w:val="20"/>
                  <w:rtl/>
                </w:rPr>
                <w:t>عرض القاموس المفصل</w:t>
              </w:r>
            </w:hyperlink>
          </w:p>
          <w:p w:rsidR="00B85659" w:rsidRPr="00D811A1" w:rsidRDefault="00B85659" w:rsidP="00812C0E">
            <w:pPr>
              <w:bidi/>
              <w:jc w:val="center"/>
              <w:rPr>
                <w:rFonts w:asciiTheme="majorBidi" w:hAnsiTheme="majorBidi" w:cstheme="majorBidi"/>
                <w:rtl/>
              </w:rPr>
            </w:pP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Research Title (Arabic)</w:t>
            </w:r>
          </w:p>
        </w:tc>
      </w:tr>
      <w:tr w:rsidR="00B85659" w:rsidRPr="00D811A1" w:rsidTr="00812C0E">
        <w:tc>
          <w:tcPr>
            <w:tcW w:w="5635" w:type="dxa"/>
          </w:tcPr>
          <w:p w:rsidR="00B85659" w:rsidRPr="00D811A1" w:rsidRDefault="00B85659" w:rsidP="00812C0E">
            <w:pPr>
              <w:ind w:left="720"/>
              <w:jc w:val="lowKashida"/>
              <w:rPr>
                <w:rFonts w:asciiTheme="majorBidi" w:eastAsia="Batang" w:hAnsiTheme="majorBidi" w:cstheme="majorBidi"/>
              </w:rPr>
            </w:pPr>
            <w:r w:rsidRPr="00D811A1">
              <w:rPr>
                <w:rFonts w:asciiTheme="majorBidi" w:hAnsiTheme="majorBidi" w:cstheme="majorBidi"/>
              </w:rPr>
              <w:t>Vertical-to-Horizontal Handovers:  Architecture and Mobility Management".</w:t>
            </w:r>
          </w:p>
          <w:p w:rsidR="00B85659" w:rsidRPr="00D811A1" w:rsidRDefault="00B85659" w:rsidP="00812C0E">
            <w:pPr>
              <w:ind w:left="720" w:right="480"/>
              <w:jc w:val="lowKashida"/>
              <w:rPr>
                <w:rFonts w:asciiTheme="majorBidi" w:hAnsiTheme="majorBidi" w:cstheme="majorBidi"/>
                <w:rtl/>
              </w:rPr>
            </w:pP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Research Title (English)</w:t>
            </w:r>
          </w:p>
        </w:tc>
      </w:tr>
      <w:tr w:rsidR="00B85659" w:rsidRPr="00D811A1" w:rsidTr="00812C0E">
        <w:tc>
          <w:tcPr>
            <w:tcW w:w="5635" w:type="dxa"/>
          </w:tcPr>
          <w:p w:rsidR="00B85659" w:rsidRPr="00D811A1" w:rsidRDefault="00B85659" w:rsidP="00812C0E">
            <w:pPr>
              <w:bidi/>
              <w:jc w:val="center"/>
              <w:rPr>
                <w:rFonts w:asciiTheme="majorBidi" w:hAnsiTheme="majorBidi" w:cstheme="majorBidi"/>
                <w:rtl/>
              </w:rPr>
            </w:pPr>
            <w:r w:rsidRPr="00DB7480">
              <w:rPr>
                <w:rFonts w:ascii="Arial" w:eastAsia="Times New Roman" w:hAnsi="Arial" w:cs="Arial" w:hint="cs"/>
                <w:color w:val="000000"/>
                <w:sz w:val="24"/>
                <w:szCs w:val="24"/>
                <w:rtl/>
              </w:rPr>
              <w:t>وإدارة التنقل</w:t>
            </w: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Research Topic (Arabic)</w:t>
            </w:r>
          </w:p>
        </w:tc>
      </w:tr>
      <w:tr w:rsidR="00B85659" w:rsidRPr="00D811A1" w:rsidTr="00812C0E">
        <w:tc>
          <w:tcPr>
            <w:tcW w:w="5635" w:type="dxa"/>
          </w:tcPr>
          <w:p w:rsidR="00B85659" w:rsidRPr="00D811A1" w:rsidRDefault="00B85659" w:rsidP="00812C0E">
            <w:pPr>
              <w:bidi/>
              <w:jc w:val="center"/>
              <w:rPr>
                <w:rFonts w:asciiTheme="majorBidi" w:hAnsiTheme="majorBidi" w:cstheme="majorBidi"/>
                <w:rtl/>
              </w:rPr>
            </w:pPr>
            <w:r w:rsidRPr="00D811A1">
              <w:rPr>
                <w:rFonts w:asciiTheme="majorBidi" w:hAnsiTheme="majorBidi" w:cstheme="majorBidi"/>
              </w:rPr>
              <w:t>Mobility management</w:t>
            </w: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Research Topic (English)</w:t>
            </w:r>
          </w:p>
        </w:tc>
      </w:tr>
      <w:tr w:rsidR="00B85659" w:rsidRPr="00D811A1" w:rsidTr="00812C0E">
        <w:tc>
          <w:tcPr>
            <w:tcW w:w="5635" w:type="dxa"/>
          </w:tcPr>
          <w:p w:rsidR="00B85659" w:rsidRPr="00D811A1" w:rsidRDefault="00B85659" w:rsidP="00812C0E">
            <w:pPr>
              <w:bidi/>
              <w:jc w:val="center"/>
              <w:rPr>
                <w:rFonts w:asciiTheme="majorBidi" w:hAnsiTheme="majorBidi" w:cstheme="majorBidi"/>
                <w:rtl/>
              </w:rPr>
            </w:pP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Publisher (Arabic)</w:t>
            </w:r>
          </w:p>
        </w:tc>
      </w:tr>
      <w:tr w:rsidR="00B85659" w:rsidRPr="00D811A1" w:rsidTr="00812C0E">
        <w:tc>
          <w:tcPr>
            <w:tcW w:w="5635"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IEEE</w:t>
            </w: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Publisher (English)</w:t>
            </w:r>
          </w:p>
        </w:tc>
      </w:tr>
      <w:tr w:rsidR="00B85659" w:rsidRPr="00D811A1" w:rsidTr="00812C0E">
        <w:tc>
          <w:tcPr>
            <w:tcW w:w="5635" w:type="dxa"/>
          </w:tcPr>
          <w:p w:rsidR="00B85659" w:rsidRPr="00D811A1" w:rsidRDefault="00B85659" w:rsidP="00812C0E">
            <w:pPr>
              <w:bidi/>
              <w:jc w:val="center"/>
              <w:rPr>
                <w:rFonts w:asciiTheme="majorBidi" w:hAnsiTheme="majorBidi" w:cstheme="majorBidi"/>
                <w:rtl/>
              </w:rPr>
            </w:pPr>
            <w:r>
              <w:rPr>
                <w:rFonts w:asciiTheme="majorBidi" w:hAnsiTheme="majorBidi" w:cstheme="majorBidi" w:hint="cs"/>
                <w:rtl/>
              </w:rPr>
              <w:t>2007</w:t>
            </w: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Publishing Year (Arabic)</w:t>
            </w:r>
          </w:p>
        </w:tc>
      </w:tr>
      <w:tr w:rsidR="00B85659" w:rsidRPr="00D811A1" w:rsidTr="00812C0E">
        <w:tc>
          <w:tcPr>
            <w:tcW w:w="5635" w:type="dxa"/>
          </w:tcPr>
          <w:p w:rsidR="00B85659" w:rsidRPr="00D811A1" w:rsidRDefault="00B85659" w:rsidP="00812C0E">
            <w:pPr>
              <w:bidi/>
              <w:jc w:val="center"/>
              <w:rPr>
                <w:rFonts w:asciiTheme="majorBidi" w:hAnsiTheme="majorBidi" w:cstheme="majorBidi"/>
                <w:rtl/>
              </w:rPr>
            </w:pPr>
            <w:r>
              <w:rPr>
                <w:rFonts w:asciiTheme="majorBidi" w:hAnsiTheme="majorBidi" w:cstheme="majorBidi" w:hint="cs"/>
                <w:rtl/>
              </w:rPr>
              <w:t>2007</w:t>
            </w:r>
          </w:p>
        </w:tc>
        <w:tc>
          <w:tcPr>
            <w:tcW w:w="4928" w:type="dxa"/>
          </w:tcPr>
          <w:p w:rsidR="00B85659" w:rsidRPr="00D811A1" w:rsidRDefault="00B85659" w:rsidP="00812C0E">
            <w:pPr>
              <w:bidi/>
              <w:jc w:val="right"/>
              <w:rPr>
                <w:rFonts w:asciiTheme="majorBidi" w:hAnsiTheme="majorBidi" w:cstheme="majorBidi"/>
                <w:rtl/>
              </w:rPr>
            </w:pPr>
            <w:r w:rsidRPr="00D811A1">
              <w:rPr>
                <w:rFonts w:asciiTheme="majorBidi" w:hAnsiTheme="majorBidi" w:cstheme="majorBidi"/>
              </w:rPr>
              <w:t>Publishing Year (English)</w:t>
            </w:r>
          </w:p>
        </w:tc>
      </w:tr>
      <w:tr w:rsidR="00B85659" w:rsidRPr="00D811A1" w:rsidTr="00812C0E">
        <w:tc>
          <w:tcPr>
            <w:tcW w:w="5635"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Print ISBN: </w:t>
            </w:r>
            <w:r w:rsidRPr="00D811A1">
              <w:rPr>
                <w:rStyle w:val="snippet"/>
                <w:rFonts w:asciiTheme="majorBidi" w:hAnsiTheme="majorBidi" w:cstheme="majorBidi"/>
              </w:rPr>
              <w:t>1-</w:t>
            </w:r>
            <w:r w:rsidRPr="00D811A1">
              <w:rPr>
                <w:rFonts w:asciiTheme="majorBidi" w:hAnsiTheme="majorBidi" w:cstheme="majorBidi"/>
              </w:rPr>
              <w:t>4244</w:t>
            </w:r>
            <w:r w:rsidRPr="00D811A1">
              <w:rPr>
                <w:rStyle w:val="snippet"/>
                <w:rFonts w:asciiTheme="majorBidi" w:hAnsiTheme="majorBidi" w:cstheme="majorBidi"/>
              </w:rPr>
              <w:t>-</w:t>
            </w:r>
            <w:r w:rsidRPr="00D811A1">
              <w:rPr>
                <w:rFonts w:asciiTheme="majorBidi" w:hAnsiTheme="majorBidi" w:cstheme="majorBidi"/>
              </w:rPr>
              <w:t>0658</w:t>
            </w:r>
            <w:r w:rsidRPr="00D811A1">
              <w:rPr>
                <w:rStyle w:val="snippet"/>
                <w:rFonts w:asciiTheme="majorBidi" w:hAnsiTheme="majorBidi" w:cstheme="majorBidi"/>
              </w:rPr>
              <w:t>-7</w:t>
            </w: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ISBN</w:t>
            </w:r>
          </w:p>
        </w:tc>
      </w:tr>
      <w:tr w:rsidR="00B85659" w:rsidRPr="00D811A1" w:rsidTr="00812C0E">
        <w:tc>
          <w:tcPr>
            <w:tcW w:w="5635" w:type="dxa"/>
          </w:tcPr>
          <w:p w:rsidR="00B85659" w:rsidRPr="00D811A1" w:rsidRDefault="00B85659" w:rsidP="00812C0E">
            <w:pPr>
              <w:pStyle w:val="ListParagraph"/>
              <w:bidi/>
              <w:ind w:left="0"/>
              <w:jc w:val="center"/>
              <w:rPr>
                <w:rFonts w:asciiTheme="majorBidi" w:hAnsiTheme="majorBidi" w:cstheme="majorBidi"/>
                <w:rtl/>
              </w:rPr>
            </w:pP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Key Words (Arabic)</w:t>
            </w:r>
          </w:p>
        </w:tc>
      </w:tr>
      <w:tr w:rsidR="00B85659" w:rsidRPr="00D811A1" w:rsidTr="00812C0E">
        <w:tc>
          <w:tcPr>
            <w:tcW w:w="5635"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 xml:space="preserve">Mobility management, Handover </w:t>
            </w: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Key Words (English )</w:t>
            </w:r>
          </w:p>
        </w:tc>
      </w:tr>
      <w:tr w:rsidR="00B85659" w:rsidRPr="00D811A1" w:rsidTr="00812C0E">
        <w:tc>
          <w:tcPr>
            <w:tcW w:w="5635" w:type="dxa"/>
          </w:tcPr>
          <w:p w:rsidR="00B85659" w:rsidRPr="00D811A1" w:rsidRDefault="00B85659" w:rsidP="00812C0E">
            <w:pPr>
              <w:pStyle w:val="ListParagraph"/>
              <w:bidi/>
              <w:ind w:left="0"/>
              <w:jc w:val="center"/>
              <w:rPr>
                <w:rFonts w:asciiTheme="majorBidi" w:hAnsiTheme="majorBidi" w:cstheme="majorBidi"/>
                <w:rtl/>
              </w:rPr>
            </w:pPr>
            <w:r w:rsidRPr="00D811A1">
              <w:rPr>
                <w:rFonts w:asciiTheme="majorBidi" w:hAnsiTheme="majorBidi" w:cstheme="majorBidi"/>
              </w:rPr>
              <w:t>WCNC'07</w:t>
            </w:r>
            <w:r w:rsidRPr="00D811A1">
              <w:rPr>
                <w:rFonts w:asciiTheme="majorBidi" w:hAnsiTheme="majorBidi" w:cstheme="majorBidi"/>
                <w:lang w:bidi="ar-LB"/>
              </w:rPr>
              <w:t xml:space="preserve">, </w:t>
            </w:r>
            <w:r w:rsidRPr="00D811A1">
              <w:rPr>
                <w:rFonts w:asciiTheme="majorBidi" w:eastAsia="Batang" w:hAnsiTheme="majorBidi" w:cstheme="majorBidi"/>
              </w:rPr>
              <w:t>IEEE Wireless Communications and Networking Conference 2007, Hong Kong.</w:t>
            </w: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Journal Name, or (Conference + place and date being held)</w:t>
            </w:r>
          </w:p>
        </w:tc>
      </w:tr>
      <w:tr w:rsidR="00B85659" w:rsidRPr="00D811A1" w:rsidTr="00812C0E">
        <w:tc>
          <w:tcPr>
            <w:tcW w:w="5635" w:type="dxa"/>
          </w:tcPr>
          <w:p w:rsidR="00B85659" w:rsidRPr="00D811A1" w:rsidRDefault="00B85659" w:rsidP="00812C0E">
            <w:pPr>
              <w:pStyle w:val="ListParagraph"/>
              <w:bidi/>
              <w:ind w:left="0"/>
              <w:jc w:val="center"/>
              <w:rPr>
                <w:rFonts w:asciiTheme="majorBidi" w:hAnsiTheme="majorBidi" w:cstheme="majorBidi"/>
                <w:rtl/>
              </w:rPr>
            </w:pP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Volume No. or Issue No. and the Number of Pages in case it has been published in a scientific journal</w:t>
            </w:r>
          </w:p>
        </w:tc>
      </w:tr>
      <w:tr w:rsidR="00B85659" w:rsidRPr="00D811A1" w:rsidTr="00812C0E">
        <w:tc>
          <w:tcPr>
            <w:tcW w:w="5635" w:type="dxa"/>
          </w:tcPr>
          <w:p w:rsidR="00B85659" w:rsidRPr="00DB7480" w:rsidRDefault="00B85659" w:rsidP="00812C0E">
            <w:pPr>
              <w:bidi/>
              <w:textAlignment w:val="top"/>
              <w:rPr>
                <w:rFonts w:ascii="Arial" w:eastAsia="Times New Roman" w:hAnsi="Arial" w:cs="Arial"/>
                <w:vanish/>
                <w:color w:val="1111CC"/>
                <w:sz w:val="20"/>
                <w:szCs w:val="20"/>
                <w:rtl/>
              </w:rPr>
            </w:pPr>
            <w:r w:rsidRPr="00DB7480">
              <w:rPr>
                <w:rFonts w:ascii="Arial" w:eastAsia="Times New Roman" w:hAnsi="Arial" w:cs="Arial" w:hint="cs"/>
                <w:color w:val="000000"/>
                <w:sz w:val="24"/>
                <w:szCs w:val="24"/>
                <w:rtl/>
              </w:rPr>
              <w:t xml:space="preserve">تصف هذه الورقة رؤية جديدة لإدارة التنقل في الجيل القادم </w:t>
            </w:r>
            <w:r>
              <w:rPr>
                <w:rFonts w:ascii="Arial" w:eastAsia="Times New Roman" w:hAnsi="Arial" w:cs="Arial" w:hint="cs"/>
                <w:color w:val="000000"/>
                <w:sz w:val="24"/>
                <w:szCs w:val="24"/>
                <w:rtl/>
              </w:rPr>
              <w:t>-</w:t>
            </w:r>
            <w:r w:rsidRPr="00DB7480">
              <w:rPr>
                <w:rFonts w:ascii="Arial" w:eastAsia="Times New Roman" w:hAnsi="Arial" w:cs="Arial" w:hint="cs"/>
                <w:color w:val="000000"/>
                <w:sz w:val="24"/>
                <w:szCs w:val="24"/>
                <w:rtl/>
              </w:rPr>
              <w:t>جميع شبكات بروتوكول الإنترنت. نقيم تسليم العمودي إلى الأفقي في العمارة المقترحة لاتصالات الجيل الثالث اللاسلكية (3</w:t>
            </w:r>
            <w:r w:rsidRPr="00DB7480">
              <w:rPr>
                <w:rFonts w:ascii="Arial" w:eastAsia="Times New Roman" w:hAnsi="Arial" w:cs="Arial" w:hint="cs"/>
                <w:color w:val="000000"/>
                <w:sz w:val="24"/>
                <w:szCs w:val="24"/>
              </w:rPr>
              <w:t>G</w:t>
            </w:r>
            <w:r w:rsidRPr="00DB7480">
              <w:rPr>
                <w:rFonts w:ascii="Arial" w:eastAsia="Times New Roman" w:hAnsi="Arial" w:cs="Arial" w:hint="cs"/>
                <w:color w:val="000000"/>
                <w:sz w:val="24"/>
                <w:szCs w:val="24"/>
                <w:rtl/>
              </w:rPr>
              <w:t xml:space="preserve">) من جانب واحد والشبكات المحلية اللاسلكية 802،11 من الجانب الآخر. في هذه العمارة ، على غرار إدارة ودرس تحليلي لتقييم عملية تسليم دعوات اسقاط احتمال واحتمال حجب المكالمات في وظيفة من وصول النطاق الترددي للشبكة، وعدد المستخدمين واستراتيجية مكافحة القبول. في هذا السيناريو ، إذا لم يكن ممكنا للاسترشاد بها في عملية التسليم إلى شبكة وصول مختلف قادر على تقديم نوعية الخدمة نفسها والمعلمات السياق، أو بعبارة أخرى، إذا تعذر تسليم العمودي أن يؤديها، وسوف تسترشد أفقيا. في هذه الحالة ، يتم توجيه المستخدمين إلى الوصول إلى التكنولوجيا نفسها، مما أسفر عن تسليم رأسي إلى أفقي. </w:t>
            </w:r>
            <w:r w:rsidRPr="00DB7480">
              <w:rPr>
                <w:rFonts w:ascii="Arial" w:eastAsia="Times New Roman" w:hAnsi="Arial" w:cs="Arial"/>
                <w:vanish/>
                <w:color w:val="1111CC"/>
                <w:szCs w:val="20"/>
                <w:rtl/>
              </w:rPr>
              <w:t>الاستماع</w:t>
            </w:r>
          </w:p>
          <w:p w:rsidR="00B85659" w:rsidRPr="00DB7480" w:rsidRDefault="00B85659" w:rsidP="00812C0E">
            <w:pPr>
              <w:bidi/>
              <w:textAlignment w:val="top"/>
              <w:rPr>
                <w:rFonts w:ascii="Arial" w:eastAsia="Times New Roman" w:hAnsi="Arial" w:cs="Arial"/>
                <w:vanish/>
                <w:color w:val="1111CC"/>
                <w:sz w:val="20"/>
                <w:szCs w:val="20"/>
                <w:rtl/>
              </w:rPr>
            </w:pPr>
            <w:r w:rsidRPr="00DB7480">
              <w:rPr>
                <w:rFonts w:ascii="Arial" w:eastAsia="Times New Roman" w:hAnsi="Arial" w:cs="Arial"/>
                <w:vanish/>
                <w:color w:val="1111CC"/>
                <w:szCs w:val="20"/>
                <w:rtl/>
              </w:rPr>
              <w:t>قراءة صوتية للكلمات</w:t>
            </w:r>
          </w:p>
          <w:p w:rsidR="00B85659" w:rsidRPr="00DB7480" w:rsidRDefault="00B85659" w:rsidP="00812C0E">
            <w:pPr>
              <w:spacing w:line="360" w:lineRule="atLeast"/>
              <w:textAlignment w:val="top"/>
              <w:rPr>
                <w:rFonts w:ascii="Lucida Sans Unicode" w:eastAsia="Times New Roman" w:hAnsi="Lucida Sans Unicode" w:cs="Lucida Sans Unicode"/>
                <w:vanish/>
                <w:color w:val="777777"/>
                <w:sz w:val="20"/>
                <w:szCs w:val="20"/>
                <w:rtl/>
              </w:rPr>
            </w:pPr>
            <w:r w:rsidRPr="00DB7480">
              <w:rPr>
                <w:rFonts w:ascii="Lucida Sans Unicode" w:eastAsia="Times New Roman" w:hAnsi="Lucida Sans Unicode" w:cs="Lucida Sans Unicode"/>
                <w:vanish/>
                <w:color w:val="777777"/>
                <w:sz w:val="20"/>
                <w:szCs w:val="20"/>
              </w:rPr>
              <w:t> </w:t>
            </w:r>
          </w:p>
          <w:p w:rsidR="00B85659" w:rsidRPr="00DB7480" w:rsidRDefault="00B85659" w:rsidP="00812C0E">
            <w:pPr>
              <w:bidi/>
              <w:spacing w:after="150" w:line="240" w:lineRule="atLeast"/>
              <w:textAlignment w:val="top"/>
              <w:outlineLvl w:val="3"/>
              <w:rPr>
                <w:rFonts w:ascii="Arial" w:eastAsia="Times New Roman" w:hAnsi="Arial" w:cs="Arial"/>
                <w:vanish/>
                <w:color w:val="888888"/>
                <w:sz w:val="20"/>
                <w:szCs w:val="20"/>
              </w:rPr>
            </w:pPr>
            <w:r w:rsidRPr="00DB7480">
              <w:rPr>
                <w:rFonts w:ascii="Arial" w:eastAsia="Times New Roman" w:hAnsi="Arial" w:cs="Arial"/>
                <w:vanish/>
                <w:color w:val="888888"/>
                <w:sz w:val="20"/>
                <w:szCs w:val="20"/>
                <w:rtl/>
              </w:rPr>
              <w:t xml:space="preserve">القاموس - </w:t>
            </w:r>
            <w:hyperlink r:id="rId5" w:history="1">
              <w:r w:rsidRPr="00DB7480">
                <w:rPr>
                  <w:rFonts w:ascii="Arial" w:eastAsia="Times New Roman" w:hAnsi="Arial" w:cs="Arial"/>
                  <w:vanish/>
                  <w:color w:val="4272DB"/>
                  <w:sz w:val="20"/>
                  <w:szCs w:val="20"/>
                  <w:rtl/>
                </w:rPr>
                <w:t>عرض القاموس المفصل</w:t>
              </w:r>
            </w:hyperlink>
          </w:p>
          <w:p w:rsidR="00B85659" w:rsidRPr="00DB7480" w:rsidRDefault="00B85659" w:rsidP="00812C0E">
            <w:pPr>
              <w:pStyle w:val="ListParagraph"/>
              <w:bidi/>
              <w:ind w:left="0"/>
              <w:jc w:val="center"/>
              <w:rPr>
                <w:rFonts w:asciiTheme="majorBidi" w:hAnsiTheme="majorBidi" w:cstheme="majorBidi"/>
              </w:rPr>
            </w:pPr>
          </w:p>
          <w:p w:rsidR="00B85659" w:rsidRPr="00D811A1" w:rsidRDefault="00B85659" w:rsidP="00812C0E">
            <w:pPr>
              <w:pStyle w:val="ListParagraph"/>
              <w:bidi/>
              <w:ind w:left="0"/>
              <w:jc w:val="center"/>
              <w:rPr>
                <w:rFonts w:asciiTheme="majorBidi" w:hAnsiTheme="majorBidi" w:cstheme="majorBidi"/>
              </w:rPr>
            </w:pPr>
          </w:p>
          <w:p w:rsidR="00B85659" w:rsidRPr="00D811A1" w:rsidRDefault="00B85659" w:rsidP="00812C0E">
            <w:pPr>
              <w:pStyle w:val="ListParagraph"/>
              <w:bidi/>
              <w:ind w:left="0"/>
              <w:jc w:val="center"/>
              <w:rPr>
                <w:rFonts w:asciiTheme="majorBidi" w:hAnsiTheme="majorBidi" w:cstheme="majorBidi"/>
              </w:rPr>
            </w:pPr>
          </w:p>
          <w:p w:rsidR="00B85659" w:rsidRPr="00D811A1" w:rsidRDefault="00B85659" w:rsidP="00812C0E">
            <w:pPr>
              <w:pStyle w:val="ListParagraph"/>
              <w:bidi/>
              <w:ind w:left="0"/>
              <w:jc w:val="center"/>
              <w:rPr>
                <w:rFonts w:asciiTheme="majorBidi" w:hAnsiTheme="majorBidi" w:cstheme="majorBidi"/>
                <w:rtl/>
              </w:rPr>
            </w:pP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t>Research Abstract (Arabic)</w:t>
            </w:r>
          </w:p>
          <w:p w:rsidR="00B85659" w:rsidRPr="00D811A1" w:rsidRDefault="00B85659" w:rsidP="00812C0E">
            <w:pPr>
              <w:pStyle w:val="ListParagraph"/>
              <w:bidi/>
              <w:ind w:left="0"/>
              <w:jc w:val="right"/>
              <w:rPr>
                <w:rFonts w:asciiTheme="majorBidi" w:hAnsiTheme="majorBidi" w:cstheme="majorBidi"/>
                <w:rtl/>
              </w:rPr>
            </w:pPr>
          </w:p>
        </w:tc>
      </w:tr>
      <w:tr w:rsidR="00B85659" w:rsidRPr="00D811A1" w:rsidTr="00812C0E">
        <w:trPr>
          <w:trHeight w:val="576"/>
        </w:trPr>
        <w:tc>
          <w:tcPr>
            <w:tcW w:w="5635" w:type="dxa"/>
          </w:tcPr>
          <w:p w:rsidR="00B85659" w:rsidRPr="00D811A1" w:rsidRDefault="00B85659" w:rsidP="00812C0E">
            <w:pPr>
              <w:pStyle w:val="ListParagraph"/>
              <w:bidi/>
              <w:ind w:left="0"/>
              <w:jc w:val="center"/>
              <w:rPr>
                <w:rFonts w:asciiTheme="majorBidi" w:hAnsiTheme="majorBidi" w:cstheme="majorBidi"/>
              </w:rPr>
            </w:pPr>
          </w:p>
          <w:p w:rsidR="00B85659" w:rsidRPr="00D811A1" w:rsidRDefault="00B85659" w:rsidP="00812C0E">
            <w:pPr>
              <w:shd w:val="clear" w:color="auto" w:fill="FFFFFF"/>
              <w:spacing w:after="360"/>
              <w:rPr>
                <w:rFonts w:asciiTheme="majorBidi" w:eastAsia="Times New Roman" w:hAnsiTheme="majorBidi" w:cstheme="majorBidi"/>
              </w:rPr>
            </w:pPr>
            <w:r w:rsidRPr="00D811A1">
              <w:rPr>
                <w:rFonts w:asciiTheme="majorBidi" w:eastAsia="Times New Roman" w:hAnsiTheme="majorBidi" w:cstheme="majorBidi"/>
              </w:rPr>
              <w:t xml:space="preserve">This paper describes a new vision for mobility management in next generation all IP networks. We evaluate the vertical-to-horizontal handover in the proposed integration architecture for the third generation wireless communication (3G) from one side and WLAN 802.11 from the other side. In this architecture, the inter-domain management IDM module introduced is modeled and analytically studied in order to evaluate the handover calls dropping probability and the call blocking probability in function of the access network bandwidth, number of users and the admission control strategy. In this scenario, if it is not possible to guide the handover to a different access network capable of providing the same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and context parameters, or in other words, if the vertical handover could not be performed, it will be guided horizontally. In this case, the user is guided to the same access technology, resulting in a vertical-to- horizontal handover. This handover management will decrease the handover dropping probability as well as the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degradation since the handover is "guided" to the next </w:t>
            </w:r>
            <w:r w:rsidRPr="00D811A1">
              <w:rPr>
                <w:rFonts w:asciiTheme="majorBidi" w:eastAsia="Times New Roman" w:hAnsiTheme="majorBidi" w:cstheme="majorBidi"/>
              </w:rPr>
              <w:lastRenderedPageBreak/>
              <w:t>access network.</w:t>
            </w:r>
          </w:p>
          <w:p w:rsidR="00B85659" w:rsidRPr="00D811A1" w:rsidRDefault="00B85659" w:rsidP="00812C0E">
            <w:pPr>
              <w:pStyle w:val="ListParagraph"/>
              <w:bidi/>
              <w:ind w:left="0"/>
              <w:jc w:val="right"/>
              <w:rPr>
                <w:rFonts w:asciiTheme="majorBidi" w:hAnsiTheme="majorBidi" w:cstheme="majorBidi"/>
              </w:rPr>
            </w:pPr>
          </w:p>
          <w:p w:rsidR="00B85659" w:rsidRPr="00D811A1" w:rsidRDefault="00B85659" w:rsidP="00812C0E">
            <w:pPr>
              <w:pStyle w:val="ListParagraph"/>
              <w:bidi/>
              <w:ind w:left="0"/>
              <w:jc w:val="center"/>
              <w:rPr>
                <w:rFonts w:asciiTheme="majorBidi" w:hAnsiTheme="majorBidi" w:cstheme="majorBidi"/>
              </w:rPr>
            </w:pPr>
          </w:p>
          <w:p w:rsidR="00B85659" w:rsidRPr="00D811A1" w:rsidRDefault="00B85659" w:rsidP="00812C0E">
            <w:pPr>
              <w:pStyle w:val="ListParagraph"/>
              <w:bidi/>
              <w:ind w:left="0"/>
              <w:jc w:val="center"/>
              <w:rPr>
                <w:rFonts w:asciiTheme="majorBidi" w:hAnsiTheme="majorBidi" w:cstheme="majorBidi"/>
                <w:rtl/>
              </w:rPr>
            </w:pPr>
          </w:p>
        </w:tc>
        <w:tc>
          <w:tcPr>
            <w:tcW w:w="4928" w:type="dxa"/>
          </w:tcPr>
          <w:p w:rsidR="00B85659" w:rsidRPr="00D811A1" w:rsidRDefault="00B85659" w:rsidP="00812C0E">
            <w:pPr>
              <w:pStyle w:val="ListParagraph"/>
              <w:bidi/>
              <w:ind w:left="0"/>
              <w:jc w:val="right"/>
              <w:rPr>
                <w:rFonts w:asciiTheme="majorBidi" w:hAnsiTheme="majorBidi" w:cstheme="majorBidi"/>
                <w:rtl/>
              </w:rPr>
            </w:pPr>
            <w:r w:rsidRPr="00D811A1">
              <w:rPr>
                <w:rFonts w:asciiTheme="majorBidi" w:hAnsiTheme="majorBidi" w:cstheme="majorBidi"/>
              </w:rPr>
              <w:lastRenderedPageBreak/>
              <w:t>Research Abstract (English)</w:t>
            </w:r>
          </w:p>
          <w:p w:rsidR="00B85659" w:rsidRPr="00D811A1" w:rsidRDefault="00B85659" w:rsidP="00812C0E">
            <w:pPr>
              <w:pStyle w:val="ListParagraph"/>
              <w:bidi/>
              <w:ind w:left="0"/>
              <w:rPr>
                <w:rFonts w:asciiTheme="majorBidi" w:hAnsiTheme="majorBidi" w:cstheme="majorBidi"/>
                <w:rtl/>
              </w:rPr>
            </w:pPr>
          </w:p>
        </w:tc>
      </w:tr>
    </w:tbl>
    <w:p w:rsidR="000826CA" w:rsidRDefault="000826CA">
      <w:pPr>
        <w:rPr>
          <w:rFonts w:hint="cs"/>
        </w:rPr>
      </w:pPr>
    </w:p>
    <w:sectPr w:rsidR="000826CA" w:rsidSect="008C2D9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5659"/>
    <w:rsid w:val="000826CA"/>
    <w:rsid w:val="008C2D99"/>
    <w:rsid w:val="00B856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5659"/>
    <w:pPr>
      <w:ind w:left="720"/>
      <w:contextualSpacing/>
    </w:pPr>
  </w:style>
  <w:style w:type="character" w:customStyle="1" w:styleId="snippet">
    <w:name w:val="snippet"/>
    <w:basedOn w:val="DefaultParagraphFont"/>
    <w:rsid w:val="00B85659"/>
    <w:rPr>
      <w:color w:val="E372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sa/dictionary?source=translation&amp;hl=ar&amp;q=GPRS%20simulation%20in%20NS%20for%20WLAN%20and%20GPRS%20integration&amp;langpair=en|ar" TargetMode="External"/><Relationship Id="rId4" Type="http://schemas.openxmlformats.org/officeDocument/2006/relationships/hyperlink" Target="http://www.google.com.sa/dictionary?source=translation&amp;hl=ar&amp;q=GPRS%20simulation%20in%20NS%20for%20WLAN%20and%20GPRS%20integration&amp;langpair=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2011-03-18T16:53:00Z</dcterms:created>
  <dcterms:modified xsi:type="dcterms:W3CDTF">2011-03-18T16:53:00Z</dcterms:modified>
</cp:coreProperties>
</file>